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313</w:t>
      </w:r>
    </w:p>
    <w:p>
      <w:r>
        <w:t>Bundesgericht (BGE), 1967-06-28, DE</w:t>
      </w:r>
    </w:p>
    <w:p>
      <w:r>
        <w:rPr>
          <w:b/>
        </w:rPr>
        <w:t xml:space="preserve">Quelle: </w:t>
      </w:r>
      <w:r>
        <w:t>https://mcp.opencaselaw.ch/entscheid/bge_93 I 313</w:t>
      </w:r>
    </w:p>
    <w:p>
      <w:r>
        <w:t>FR: ATF 93 I 313</w:t>
      </w:r>
    </w:p>
    <w:p>
      <w:r>
        <w:t>IT: DTF 93 I 313</w:t>
      </w:r>
    </w:p>
    <w:p>
      <w:pPr>
        <w:pStyle w:val="Heading2"/>
      </w:pPr>
      <w:r>
        <w:t>Regeste</w:t>
      </w:r>
    </w:p>
    <w:p>
      <w:r>
        <w:t>Regeste Ausgabenreferendum 1. Überlässt es eine kantonale Verfassung ausdrücklich dem Gesetzgeber zu bestimmen, ob und welche Beschlüsse des Grossen Rates von finanzieller Tragweite dem fakultativen Referendum zu unterstellen sind, dann tritt das Bundesgericht auf die Rüge der Verletzung entsprechender Gesetzesvorschriften ein (Erw. 3b). Überprüfungsbefugnis des Bundesgerichts (Erw. 4). 2. Begriff der "Ausgabe" und der "Anlage" (Erw. 5). Die Beteiligung des Staates mit bis zu Fr. 2,5 Mio an einer Zentralstelle für elektronische Datenverarbeitung ist eine Ausgabe im Sinne des st. gallischen Ausgabenreferendums (Erw. 6 und 7).</w:t>
      </w:r>
    </w:p>
    <w:p>
      <w:pPr>
        <w:pStyle w:val="Heading2"/>
      </w:pPr>
      <w:r>
        <w:t>Erwägungen</w:t>
      </w:r>
    </w:p>
    <w:p>
      <w:r>
        <w:rPr>
          <w:b/>
        </w:rPr>
        <w:t>E. 3</w:t>
      </w:r>
    </w:p>
    <w:p>
      <w:r>
        <w:t>Nach Ansicht des Regierungsrates ist auch deshalb auf die Beschwerde nicht einzutreten, weil die Beschwerdeführer gemäss Art. 85 lit. a OG nur eine Verletzung von kantonalem Verfassungsrecht und von Bundesrecht rügen dürfen, der als verletzt bezeichnete Art. 47 KV sich aber überhaupt nicht mit dem Finanzreferendum befasse, die weiterhin angerufenen Art. 10 und 11 FG kein kantonales Verfassungsrecht, sondern nur einfaches kantonales Gesetzesrecht seien und eine Verletzung von Bundesrecht nicht geltend gemacht werde. a) Der als verletzt bezeichnete Nachtrag zu Art. 47 KV gibt den Beschwerdeführern kein verfassungsmässiges Individualrecht, sondern ermächtigt lediglich den kantonalen Gesetzgeber, Beschlüsse des Grossen Rates von finanzieller Tragweite dem fakultativen oder dem obligatorischen Finanzreferendum zu unterstellen. Das ist in den Art. 9-11 FG geschehen. Erst diese Bestimmungen verleihen den Stimmbürgern politische Rechte. Auf die Rüge der Verletzung des Nachtrages zu Art. 47 KV ist somit nicht einzutreten. b) Die st. gallische Verfassung regelt das Finanzreferendum nicht selber. Gemäss Nachtrag vom 20. Januar 1924 überlässt sie es vielmehr dem Gesetzgeber, zu bestimmen, ob und welche Beschlüsse des Grossen Rates von finanzieller Tragweite dem fakultativen oder obligatorischen Referendum zu unterwerfen sind. Der Gesetzgeber hat in den Art. 9-11 FG von dieser Ermächtigung Gebrauch gemacht. Er hat dadurch das im genannten Nachtrag zur KV vorbehaltene Finanzreferendum geordnet und damit ein verfassungsmässiges Stimmrecht des Bürgers nach Umfang und Inhalt umschrieben. Die Regelung im st. gallischen Recht unterscheidet sich nicht wesentlich von dem Fall, wo sich die Verfassung darauf beschränkt, das BGE 93 I 313 S. 318 Stimmrecht grundsätzlich zu gewährleisten, dessen nähere Umschreibung jedoch dem Gesetzgeber vorbehält. Das Bundesgericht ist hier stets auch insoweit auf Stimmrechtsbeschwerden eingetreten, als lediglich eine Verletzung solcher Gesetzesvorschriften geltend gemacht wurde, sofern nur das in Frage stehende Stimmrecht in der Verfassung verankert war (vgl. BGE 75 I 244 /5; BGE 81 I 196 E. 3; BGE 83 I 176 E. 2; BGE 89 I 85 E. 3 und 453 E. 3; BGE 91 I 271 /2; BGE 92 I 355 E. 3). Diese Voraussetzung ist auch im vorliegenden Fall mit dem Nachtrag vom 20. Januar 1924 zur st. gallischen KV gegeben. Auf die Rügen der Verletzung von Art. 10, eventuell Art. 11 FG kann daher eingetreten werden.</w:t>
      </w:r>
    </w:p>
    <w:p>
      <w:r>
        <w:rPr>
          <w:b/>
        </w:rPr>
        <w:t>E. 4</w:t>
      </w:r>
    </w:p>
    <w:p>
      <w:r>
        <w:t>Bei Stimmrechtsbeschwerden prüft das Bundesgericht die Auslegung kantonaler Vorschriften, die nicht der Verfassungsstufe angehören, in der Regel zwar unter dembeschränkten Gesichtswinkel des Art. 4 BV . Freie Prüfung nimmt es aber dann in Anspruch, wenn die Vorschriften der genannten Art Inhalt und Umfang des bundesrechtlich gewährleisteten Stimmrechts betreffen ( BGE 91 I 271 /2 mit Verweisungen, 319; BGE 92 I 355 E. 3). Die von den Beschwerdeführern als verletzt bezeichneten Art. 10, eventuell Art. 11 FG bestimmen, unter welchen Voraussetzungen Gesetze und Beschlüsse über Ausgaben und andere finanzielle Verbindlichkeiten dem obligatorischen oder fakultativen Referendum zu unterstellen sind. Sie regeln mithin Inhalt und Umfang des Finanzreferendums. Entgegen der Auffassung des Regierungsrates steht dem Bundesgericht daher im vorliegenden Fall freie Prüfung zu.</w:t>
      </w:r>
    </w:p>
    <w:p>
      <w:r>
        <w:rPr>
          <w:b/>
        </w:rPr>
        <w:t>E. 5</w:t>
      </w:r>
    </w:p>
    <w:p>
      <w:r>
        <w:t>Es wird von keiner Seite bestritten, dass die st. gallischen Gesetzesvorschriften nicht ein allgemeines, sondern nur ein besonderes Finanzreferendum, das sog. Ausgabenreferendum vorsehen. Während aber der Grosse Rat mehrheitlich mit dem Gutachter Geiger dafür hielt, bei der Beteiligung des Staates an der Zentralstelle für elektronische Datenverarbeitung handle es sich um eine blosse Kapitalanlage, und er aus diesem Grunde den entsprechenden Beschluss dem Volk nicht zur Abstimmung unterbreitete, machen die Beschwerdeführer in erster Linie eine Verletzung des Art. 10 FG geltend und behaupten, die genannte Beteiligung stelle eine Ausgabe im Sinne dieser Bestimmung dar, weshalb der angefochtene Beschluss dem Referendum hätte unterstellt werden sollen. BGE 93 I 313 S. 319 a) Art. 9 und 10 FG enthalten keine Umschreibung des Begriffes der Ausgabe. Zu dessen Bestimmung sind deshalb die in Lehre und Rechtsprechung erarbeiteten Grundsätze heranzuziehen. Durch das Institut des Ausgabenreferendums soll dem stimmberechtigten Steuerpflichtigen ein Mitspracherecht eingeräumt werden bei Aufwendungen des Gemeinwesens, die geeignet sind, die steuerliche Belastung zu erhöhen. Ausgehend von diesem Gedanken und von der klassischen Einteilung staatlicher Vermögenswerte in Finanzvermögen (d.h. die Sachen, die dem Gemeinwesen durch ihren Kapital- oder Ertragswert dienen) und Verwaltungsvermögen (d.h. die Sachen, die dem Gemeinwesen durch ihren Gebrauchswert dienen) haben die bundesgerichtliche Praxis und das Schrifttum den Begriff der Ausgabe entwickelt. Im selben Zusammenhang ist auch die das Gegenstück zur "Ausgabe" bildende "Anlage" zu verstehen. Schon in BGE 25 I 459 ff. stellte das Bundesgericht klar, dass nicht jeder Kassenausgang und nicht jede Aufwendung staatlicher Mittel als Ausgaben zu betrachten seien, sondern nur diejenigen Finanzgeschäfte des Staates, die als solche den "jährlichen Voranschlag über die laufende Verwaltung belasten und daher geeignet sind, indirekt auf die Steueranlage einen Einfluss auszuüben" (S. 478/9). An dieser Rechtsprechung wurde in BGE 51 I 222 festgehalten. Erläuternd fügte dort der Staatsgerichtshof hinzu, dass als Ausgabe rechthich und wirtschaftlich nur die Entäusserung von Geld oder Geldeswert durch Überführung aus dem Vermögen des Ausgebenden in dasjenige eines Dritten erscheine und nicht schon die blosse Verschiebung solcher Werte von einem zum andern Unternehmen des gleichen Eigentümers. Die bisherige Praxis des Bundesgerichts - sie wurde auch in BGE 89 I 37 ff. übernommen - fand Zustimmung im Schrifttum. So hat GIACOMETTI (Das Staatsrecht der schweizerischen Kantone S. 532) aus ihr gefolgert, man könne nur dann von einer Ausgabe im Sinne des Ausgabenreferendums sprechen, wenn Mittel, die der Kanton aufgebracht habe, ausgegeben würden, ohne dass dadurch ein realisierbarer Gegenwert, d.h. eine veränderte realisierbare Anlage entstehe, also z.B. wenn ein Stück des Finanzvermögens Verwaltungsvermögen werde. Andere Autoren vertreten gleiche oder ähnliche Auffassungen (vgl. die BGE 93 I 313 S. 320 Literaturhinweise in BGE 89 I 42 ). Insbesondere E. BLUMENSTEIN (MbVR 41/1943, S. 4/5) hat in Anlehnung an Giacometti klargemacht, ein realisierbarer Gegenwert (und damit eine Aufwendung ohne Ausgabencharakter) liege nur vor, wenn das erzielte Resultat nicht von Rechts wegen zu einer Verwendung bestimmt sei, welche, wie diejenige zu Verwaltungszwecken, seine wirtschaftliche Veräusserung ausschliesse. Dieselbe Auffassung vertritt E. M. LAUR (Das Finanzreferendum im Kanton Zürich, Diss. 1966 S. 52), wenn er die Ausgabe definiert als "jede Festlegung von bisher frei verfügbarem Geld oder frei verfügbaren Vermögenswerten des Staates zum Zwecke und in der Absicht, damit eine staatliche Verwaltungsaufgabe zu erfüllen, die über den Rahmen der ausschliesslichen Vermögensverwaltung hinausgeht". b) Wie den vorstehenden Darlegungen zum Begriff der Ausgabe zu entnehmen ist, spricht man von einer "Anlage" dann, wenn einer Aufwendung der genannten Art ein realisierbarer Gegenwert gegenübersteht. Nach E. BLUMENSTEIN (a.a.O. S. 6) gehört zum Begriff der Anlage notwendigerweise die Absicht, vorhandenes eigenes Vermögen in eine bestimmte wirtschaftliche Form zu bringen zum Zwecke seiner Konservierung und zur Sicherung eines angemessenen Ertrages. Die Anlage verlangt, so führt BLUMENSTEIN weiter aus, vor allem einen ausgesprochenen Anlagezweck. Dieser werde von vornherein dadurch ausgeschlossen, dass mit der betreffenden Geldverwendung rein verwaltungsrechtliche Ziele verfolgt würden. c) Ob eine Aufwendung staatlicher Mittel als Ausgabe oder als Anlage zu behandeln ist, entscheidet sich deshalb letztlich nach der damit verfolgten Absicht. Worauf diese gerichtet sei, kann naturgemäss nur auf Grund der Umstände des Einzelfalles beurteilt werden. Immerhin ist festzustellen, dass die Absicht des Gemeinwesens, eine Vermögensanlage zu machen, lediglich dann bejaht werden darf, wenn sämtliche Merkmale, insbesondere auch der typische Anlagezweck, gegeben sind (vgl. BGE 2 S. 478; BLUMENSTEIN a.a.O. S. 7, LAUR, a.a.O. S. 52/53).</w:t>
      </w:r>
    </w:p>
    <w:p>
      <w:r>
        <w:rPr>
          <w:b/>
        </w:rPr>
        <w:t>E. 6</w:t>
      </w:r>
    </w:p>
    <w:p>
      <w:r>
        <w:t>Im Lichte der vorstehenden Ausführungen erscheint die vom Grossen Rat beschlossene Beteiligung des Kantons St. Gallen an der Zentralstelle für elektronische Datenverarbeitung nicht als Anlage, sondern als Ausgabe. BGE 93 I 313 S. 321 a) In dem Gutachten, das er der kantonalen Regierung erstattet hat, räumt Prof. Geiger ein - und der Regierungsrat scheint es nicht zu bestreiten -, dass die entsprechende Aufwendung unter sonst gleichen Bedingungen als Ausgabe dem obligatorischen Referendum unterläge, sofern der Kanton die Datenverarbeitungsanlage zu alleinigem Eigentum erwürbe. Mit Prof. Geiger legt aber die Behörde entscheidendes Gewicht auf die Tatsache, dass sich der Kanton, statt selber zu kaufen, an einer wirtschaftlichen Unternehmung beteilige. Diesem Beteiligungsverhältnis komme ein wirtschaftlicher Wert zu, und Art. 10 FG sei deshalb nicht anwendbar. Einer solchen Betrachtungsweise kann nicht gefolgt werden. Sowohl das vom Regierungsrat eingeholte Gutachten als auch die Botschaft zum angefochtenen Grossratsbeschluss bringen deutlich zum Ausdruck, welches Ziel mit der Beteiligung angestrebt wird: es sollen Maschinen angeschafft werden, um den Betrieb der kantonalen Verwaltung rationeller zu gestalten. Somit kann keinem Zweifel unterliegen, dass es dem Kanton mit der geplanten Beteiligung nicht darum geht, Mittel möglichst vorteilhaft anzulegen. Zweck der Aufwendung ist nicht die Vermögensverwaltung, sondern der Erwerb von Sachen, die dem Gemeinwesen durch ihren Gebrauchswert dienen. Mit der Beteiligung an der zu gründenden einfachen Gesellschaft verfolgt der Staat demnach die gleiche Absicht, wie wenn er die Datenverarbeitungsanlage selber anschaffte. Das gibt die kantonale Regierung übrigens auch zu. Nach ihren eigenen Ausführungen in Botschaft und Beschwerdeantwort wurde nämlich die Form der Beteiligung vor allem deshalb gewählt, um insbesondere die st. gallischen Gemeinden und öffentlichen Verwaltungsbetriebe benachbarter Kantone leichter für die Teilnahme zu gewinnen und mit der dadurch erreichten breiten Trägerschaft die Maschine besser ausnützen zu können. Inwiefern bei solchen Beweggründen aber von einer Kapitalanlage gesprochen werden kann, ist nach dem Gesagten nicht erfindlich. b) Da die beschlossene Hingabe staatlicher Mittel der Erfüllung einer Aufgabe der öffentlichen Verwaltung dient, kann heute, d.h. im Zeitpunkt der Bereitstellung jener Mittel, nicht gesagt werden, ihr Gegenwert sei realisierbar. Vielmehr könnte der Kanton über die nunmehr festgelegten Vermögenswerte erst dann wieder frei verfügen, wenn sich das gleiche Ziel BGE 93 I 313 S. 322 auf andere Weise verwirklichen liesse. Ob und wann dies der Fall sei, vermag auch der Regierungsrat nicht zu sagen. c) Fehlt aber nach dem Gesagten der vom Grossen Rat beschlossenen Aufwendung der typische Zweck einer Vermögensanlage und damit auch die Realisierbarkeit, dann kann offen bleiben, ob die umstrittene Beteiligung andere Anlagemerkmale aufweise. Die Frage wäre übrigens zu verneinen. Wie in der Beschwerde zutreffend ausgeführt wird, hat sich der Kanton St. Gallen nicht nur mit 85% an der geplanten Zentralstelle zu beteiligen, er wird auch bei weitem deren grösster Kunde sein. Da die jährlichen Kapitalzinsen und Tilgungsbeträge zusammen mit den kalkulatorischen Abschreibungen und den Betriebskosten in die nach Benutzungsdauer der Maschinen abgestuften Preise eingerechnet werden, erscheint der Einwand der Beschwerdeführer, der Staat bezahle sich die Zinsen und Annuitäten im wesentlichen selber, als begründet. Dass sich mit den Datenverarbeitungsmaschinen dereinst Rationalisierungsgewinne erzielen lassen werden, ist zu erwarten. Ihretwegen wird jedoch die genannte Aufwendung nicht zu einer Vermögensanlage. Solche möglichen Einsparungen ändern nichts an der Tatsache, dass der Kanton St. Gallen heute Gelder aufzubringen hat, die, weil zum Erwerb von Sachen des Verwaltungsvermögens bestimmt, dem Finanzvermögen entzogen werden.</w:t>
      </w:r>
    </w:p>
    <w:p>
      <w:r>
        <w:rPr>
          <w:b/>
        </w:rPr>
        <w:t>E. 7</w:t>
      </w:r>
    </w:p>
    <w:p>
      <w:r>
        <w:t>Handelt es sich nach den vorstehenden Ausführungen bei der Beteiligung des Kantons St. Gallen an der Zentralstelle für elektronische Datenverarbeitung um eine Ausgabe im Sinne des Ausgabenreferendums, dann ist nicht einzusehen, aus welchem Grunde Art. 10 FG im vorliegenden Falle nicht anwendbar sein sollte. Weder tut der Regierungsrat dar, der dort verwendete Begriff der "Gesamtausgabe" weiche von den in Lehre und Rechtsprechung entwickelten Grundsätzen ab, noch wird geltend gemacht, die beschlossene Hingabe staatlicher Mittel ergebe sich aus der Anwendung eines vom Volk bereits angenommenen Gesetzes, stelle somit eine "gebundene" Ausgabe dar (vgl. ZBl 57/1956 S. 159 mit Hinweisen). Der angefochtene Grossratsbeschluss, welcher eine einmalige Gesamtausgabe bis zu 2,5 Mio Franken vorsieht, hätte somit gemäss Art. 10 FG dem Volk zur Abstimmung unterbreitet werden sollen. Insoweit dies nicht geschah, ist er verfassungswidrig und muss aufgehoben werden mit der Folge, dass der BGE 93 I 313 S. 323 Grosse Rat entweder auf den Beschluss verzichten kann oder ihn dem Referendum zu unterstellen hat ( BGE 71 I 315 E. 7).</w:t>
      </w:r>
    </w:p>
    <w:p>
      <w:r>
        <w:rPr>
          <w:b/>
        </w:rPr>
        <w:t>E. 8</w:t>
      </w:r>
    </w:p>
    <w:p>
      <w:r>
        <w:t>Ob auch die Rüge der Beschwerdeführer begründet sei, dass der angefochtene Beschluss "eventuell" Art. 11 FG verletze, kann bei diesem Ausgang dahingestellt bleiben.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